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黑体" w:hAnsi="黑体" w:eastAsia="黑体" w:cs="Times New Roman"/>
          <w:b/>
          <w:bCs/>
          <w:sz w:val="32"/>
          <w:szCs w:val="32"/>
          <w:lang w:val="zh-CN"/>
        </w:rPr>
      </w:pPr>
      <w:r>
        <w:rPr>
          <w:rFonts w:hint="eastAsia" w:ascii="黑体" w:hAnsi="黑体" w:eastAsia="黑体" w:cs="Times New Roman"/>
          <w:b/>
          <w:bCs/>
          <w:sz w:val="32"/>
          <w:szCs w:val="32"/>
          <w:lang w:val="zh-CN"/>
        </w:rPr>
        <w:t>中国科学院</w:t>
      </w:r>
      <w:r>
        <w:rPr>
          <w:rFonts w:hint="eastAsia" w:ascii="黑体" w:hAnsi="黑体" w:eastAsia="黑体" w:cs="Times New Roman"/>
          <w:b/>
          <w:bCs/>
          <w:sz w:val="32"/>
          <w:szCs w:val="32"/>
        </w:rPr>
        <w:t>新疆理化所</w:t>
      </w:r>
    </w:p>
    <w:p>
      <w:pPr>
        <w:jc w:val="center"/>
        <w:rPr>
          <w:rFonts w:ascii="黑体" w:hAnsi="黑体" w:eastAsia="黑体"/>
          <w:b/>
          <w:bCs/>
          <w:sz w:val="32"/>
          <w:szCs w:val="32"/>
          <w:lang w:val="zh-CN"/>
        </w:rPr>
      </w:pPr>
      <w:r>
        <w:rPr>
          <w:rFonts w:hint="eastAsia" w:ascii="黑体" w:hAnsi="黑体" w:eastAsia="黑体" w:cs="Times New Roman"/>
          <w:b/>
          <w:bCs/>
          <w:sz w:val="32"/>
          <w:szCs w:val="32"/>
          <w:lang w:val="zh-CN"/>
        </w:rPr>
        <w:t>药</w:t>
      </w:r>
      <w:r>
        <w:rPr>
          <w:rFonts w:hint="eastAsia" w:ascii="黑体" w:hAnsi="黑体" w:eastAsia="黑体" w:cs="Times New Roman"/>
          <w:b/>
          <w:bCs/>
          <w:sz w:val="32"/>
          <w:szCs w:val="32"/>
        </w:rPr>
        <w:t>物化</w:t>
      </w:r>
      <w:r>
        <w:rPr>
          <w:rFonts w:hint="eastAsia" w:ascii="黑体" w:hAnsi="黑体" w:eastAsia="黑体" w:cs="Times New Roman"/>
          <w:b/>
          <w:bCs/>
          <w:sz w:val="32"/>
          <w:szCs w:val="32"/>
          <w:lang w:val="zh-CN"/>
        </w:rPr>
        <w:t>学</w:t>
      </w:r>
      <w:r>
        <w:rPr>
          <w:rFonts w:hint="eastAsia" w:ascii="黑体" w:hAnsi="黑体" w:eastAsia="黑体" w:cs="Times New Roman"/>
          <w:b/>
          <w:bCs/>
          <w:sz w:val="32"/>
          <w:szCs w:val="32"/>
        </w:rPr>
        <w:t>二</w:t>
      </w:r>
      <w:r>
        <w:rPr>
          <w:rFonts w:hint="eastAsia" w:ascii="黑体" w:hAnsi="黑体" w:eastAsia="黑体" w:cs="Times New Roman"/>
          <w:b/>
          <w:bCs/>
          <w:sz w:val="32"/>
          <w:szCs w:val="32"/>
          <w:lang w:val="zh-CN"/>
        </w:rPr>
        <w:t>级学科硕士学位授予</w:t>
      </w:r>
      <w:r>
        <w:rPr>
          <w:rFonts w:ascii="黑体" w:hAnsi="黑体" w:eastAsia="黑体" w:cs="Times New Roman"/>
          <w:b/>
          <w:bCs/>
          <w:sz w:val="32"/>
          <w:szCs w:val="32"/>
          <w:lang w:val="zh-CN"/>
        </w:rPr>
        <w:t>基本标准</w:t>
      </w:r>
    </w:p>
    <w:p>
      <w:pPr>
        <w:spacing w:before="312" w:beforeLines="100" w:after="156" w:afterLines="50" w:line="300" w:lineRule="auto"/>
        <w:jc w:val="left"/>
        <w:rPr>
          <w:rFonts w:ascii="Times New Roman" w:hAnsi="Times New Roman" w:eastAsia="黑体" w:cs="Times New Roman"/>
          <w:b/>
          <w:bCs/>
          <w:sz w:val="28"/>
          <w:szCs w:val="28"/>
        </w:rPr>
      </w:pPr>
      <w:r>
        <w:rPr>
          <w:rFonts w:hint="eastAsia" w:ascii="Times New Roman" w:hAnsi="Times New Roman" w:eastAsia="黑体" w:cs="黑体"/>
          <w:b/>
          <w:bCs/>
          <w:sz w:val="28"/>
          <w:szCs w:val="28"/>
        </w:rPr>
        <w:t>第一部分</w:t>
      </w:r>
      <w:r>
        <w:rPr>
          <w:rFonts w:ascii="Times New Roman" w:hAnsi="Times New Roman" w:eastAsia="黑体" w:cs="Times New Roman"/>
          <w:b/>
          <w:bCs/>
          <w:sz w:val="28"/>
          <w:szCs w:val="28"/>
        </w:rPr>
        <w:t xml:space="preserve">  </w:t>
      </w:r>
      <w:r>
        <w:rPr>
          <w:rFonts w:hint="eastAsia" w:ascii="Times New Roman" w:hAnsi="Times New Roman" w:eastAsia="黑体" w:cs="黑体"/>
          <w:b/>
          <w:bCs/>
          <w:sz w:val="28"/>
          <w:szCs w:val="28"/>
        </w:rPr>
        <w:t>学科简介</w:t>
      </w:r>
    </w:p>
    <w:p>
      <w:pPr>
        <w:spacing w:before="312" w:beforeLines="100" w:after="156" w:afterLines="50" w:line="300" w:lineRule="auto"/>
        <w:ind w:firstLine="480" w:firstLineChars="200"/>
        <w:jc w:val="left"/>
        <w:rPr>
          <w:bCs/>
          <w:sz w:val="24"/>
          <w:szCs w:val="24"/>
        </w:rPr>
      </w:pPr>
      <w:r>
        <w:rPr>
          <w:rFonts w:hint="eastAsia" w:ascii="Times New Roman" w:hAnsi="Times New Roman" w:cs="Times New Roman"/>
          <w:sz w:val="24"/>
          <w:szCs w:val="24"/>
        </w:rPr>
        <w:t>面向国家和新疆地区经济社会可持续发展的战略需求，瞄准药物化学发展前沿，开展民族药标准化和天然药物化学研究，</w:t>
      </w:r>
      <w:r>
        <w:rPr>
          <w:bCs/>
          <w:sz w:val="24"/>
          <w:szCs w:val="24"/>
        </w:rPr>
        <w:t>围绕</w:t>
      </w:r>
      <w:r>
        <w:rPr>
          <w:rFonts w:hint="eastAsia"/>
          <w:bCs/>
          <w:sz w:val="24"/>
          <w:szCs w:val="24"/>
        </w:rPr>
        <w:t>新疆</w:t>
      </w:r>
      <w:r>
        <w:rPr>
          <w:bCs/>
          <w:sz w:val="24"/>
          <w:szCs w:val="24"/>
        </w:rPr>
        <w:t>特色药用植物资源的开发利用和保护，以植物资源活性成分结构、功能与作用机理为核心，以民族药用植物资源功能成分研究为突破口，发现与表征功能独特的组分和结构新颖的先导化合物，阐明特色药用成分的作用机理，开发具有自主知识产权的新药</w:t>
      </w:r>
      <w:r>
        <w:rPr>
          <w:rFonts w:hint="eastAsia"/>
          <w:bCs/>
          <w:sz w:val="24"/>
          <w:szCs w:val="24"/>
        </w:rPr>
        <w:t>，同时围绕维药药材及医院维药经典验方开展质量标准研究</w:t>
      </w:r>
    </w:p>
    <w:p>
      <w:pPr>
        <w:spacing w:before="312" w:beforeLines="100" w:after="156" w:afterLines="50" w:line="300" w:lineRule="auto"/>
        <w:jc w:val="left"/>
        <w:rPr>
          <w:rFonts w:ascii="Times New Roman" w:hAnsi="Times New Roman" w:eastAsia="黑体" w:cs="Times New Roman"/>
          <w:b/>
          <w:bCs/>
          <w:sz w:val="28"/>
          <w:szCs w:val="28"/>
        </w:rPr>
      </w:pPr>
      <w:r>
        <w:rPr>
          <w:rFonts w:hint="eastAsia" w:ascii="Times New Roman" w:hAnsi="Times New Roman" w:eastAsia="黑体" w:cs="黑体"/>
          <w:b/>
          <w:bCs/>
          <w:sz w:val="28"/>
          <w:szCs w:val="28"/>
        </w:rPr>
        <w:t>第二部分</w:t>
      </w:r>
      <w:r>
        <w:rPr>
          <w:rFonts w:ascii="Times New Roman" w:hAnsi="Times New Roman" w:eastAsia="黑体" w:cs="Times New Roman"/>
          <w:b/>
          <w:bCs/>
          <w:sz w:val="28"/>
          <w:szCs w:val="28"/>
        </w:rPr>
        <w:t xml:space="preserve"> </w:t>
      </w:r>
      <w:r>
        <w:rPr>
          <w:rFonts w:hint="eastAsia" w:ascii="Times New Roman" w:hAnsi="Times New Roman" w:eastAsia="黑体" w:cs="黑体"/>
          <w:b/>
          <w:bCs/>
          <w:sz w:val="28"/>
          <w:szCs w:val="28"/>
        </w:rPr>
        <w:t>硕士学位的基本要求</w:t>
      </w:r>
    </w:p>
    <w:p>
      <w:pPr>
        <w:pStyle w:val="51"/>
        <w:spacing w:line="300" w:lineRule="auto"/>
        <w:jc w:val="both"/>
        <w:rPr>
          <w:rFonts w:eastAsia="黑体"/>
          <w:b/>
          <w:bCs/>
          <w:kern w:val="2"/>
        </w:rPr>
      </w:pPr>
      <w:r>
        <w:rPr>
          <w:rFonts w:hint="eastAsia" w:eastAsia="黑体" w:cs="黑体"/>
          <w:b/>
          <w:bCs/>
          <w:kern w:val="2"/>
        </w:rPr>
        <w:t>一、获本学科硕士学位应掌握的基本知识</w:t>
      </w:r>
    </w:p>
    <w:p>
      <w:pPr>
        <w:pStyle w:val="53"/>
        <w:spacing w:line="300" w:lineRule="auto"/>
        <w:ind w:firstLine="480" w:firstLineChars="200"/>
        <w:jc w:val="both"/>
        <w:rPr>
          <w:kern w:val="2"/>
        </w:rPr>
      </w:pPr>
      <w:r>
        <w:rPr>
          <w:rFonts w:hint="eastAsia" w:cs="宋体"/>
          <w:kern w:val="2"/>
        </w:rPr>
        <w:t>药物化学学科硕士生应掌握所学学科方向的基本理论和专业知识，较为熟练地掌握一门外国语；熟悉相关学科的理论和研究方法，知晓所从事研究领域的现状，了解其发展趋势；得到独立进行科研及专门技术工作的训练，熟练使用相关仪器设备，能应用相关理论和实验技能从事药物化学科学研究及技术开发工作，能够基本独立完成一项比较完整的科学技术研究工作。为达到上述要求，药物化学学科硕士生应掌握的基本知识包括</w:t>
      </w:r>
      <w:r>
        <w:rPr>
          <w:kern w:val="2"/>
        </w:rPr>
        <w:t xml:space="preserve">: </w:t>
      </w:r>
    </w:p>
    <w:p>
      <w:pPr>
        <w:pStyle w:val="53"/>
        <w:spacing w:line="300" w:lineRule="auto"/>
        <w:jc w:val="both"/>
        <w:rPr>
          <w:b/>
          <w:bCs/>
          <w:kern w:val="2"/>
        </w:rPr>
      </w:pPr>
      <w:r>
        <w:rPr>
          <w:b/>
          <w:bCs/>
          <w:kern w:val="2"/>
        </w:rPr>
        <w:t>1</w:t>
      </w:r>
      <w:r>
        <w:rPr>
          <w:rFonts w:cs="宋体"/>
          <w:b/>
          <w:bCs/>
          <w:kern w:val="2"/>
        </w:rPr>
        <w:t>.</w:t>
      </w:r>
      <w:r>
        <w:rPr>
          <w:b/>
          <w:bCs/>
          <w:kern w:val="2"/>
        </w:rPr>
        <w:t xml:space="preserve"> </w:t>
      </w:r>
      <w:r>
        <w:rPr>
          <w:rFonts w:hint="eastAsia" w:cs="宋体"/>
          <w:b/>
          <w:bCs/>
          <w:kern w:val="2"/>
        </w:rPr>
        <w:t>专业知识</w:t>
      </w:r>
    </w:p>
    <w:p>
      <w:pPr>
        <w:pStyle w:val="53"/>
        <w:spacing w:line="300" w:lineRule="auto"/>
        <w:ind w:firstLine="480" w:firstLineChars="200"/>
        <w:jc w:val="both"/>
        <w:rPr>
          <w:kern w:val="2"/>
        </w:rPr>
      </w:pPr>
      <w:r>
        <w:rPr>
          <w:rFonts w:hint="eastAsia" w:cs="宋体"/>
          <w:kern w:val="2"/>
        </w:rPr>
        <w:t>药物化学学科硕士生应围绕药物化学的某一学科进行系统的课程学习并开展研究工作，较系统地掌握该学科方向的基础理论知识和实验技能，能够熟练运用该方向的基本研究方法。借助学位论文的科学选题，运用已有的知识积累、理论方法和研究技术开展研究工作，并进一步加深对该学科方向的理解。</w:t>
      </w:r>
      <w:r>
        <w:rPr>
          <w:kern w:val="2"/>
        </w:rPr>
        <w:t xml:space="preserve"> </w:t>
      </w:r>
    </w:p>
    <w:p>
      <w:pPr>
        <w:pStyle w:val="53"/>
        <w:spacing w:line="300" w:lineRule="auto"/>
        <w:jc w:val="both"/>
        <w:rPr>
          <w:b/>
          <w:bCs/>
          <w:kern w:val="2"/>
        </w:rPr>
      </w:pPr>
      <w:r>
        <w:rPr>
          <w:b/>
          <w:bCs/>
          <w:kern w:val="2"/>
        </w:rPr>
        <w:t>2</w:t>
      </w:r>
      <w:r>
        <w:rPr>
          <w:rFonts w:hint="eastAsia" w:cs="宋体"/>
          <w:b/>
          <w:bCs/>
          <w:kern w:val="2"/>
        </w:rPr>
        <w:t>.</w:t>
      </w:r>
      <w:r>
        <w:rPr>
          <w:b/>
          <w:bCs/>
          <w:kern w:val="2"/>
        </w:rPr>
        <w:t xml:space="preserve"> </w:t>
      </w:r>
      <w:r>
        <w:rPr>
          <w:rFonts w:hint="eastAsia" w:cs="宋体"/>
          <w:b/>
          <w:bCs/>
          <w:kern w:val="2"/>
        </w:rPr>
        <w:t>工具性知识</w:t>
      </w:r>
    </w:p>
    <w:p>
      <w:pPr>
        <w:pStyle w:val="47"/>
        <w:spacing w:line="300" w:lineRule="auto"/>
        <w:ind w:firstLine="480" w:firstLineChars="200"/>
        <w:jc w:val="both"/>
        <w:rPr>
          <w:kern w:val="2"/>
        </w:rPr>
      </w:pPr>
      <w:r>
        <w:rPr>
          <w:rFonts w:hint="eastAsia" w:cs="宋体"/>
          <w:kern w:val="2"/>
        </w:rPr>
        <w:t>文献调研、资料查询和学术交流是硕士生必备的基本能力，对于其较快获得本学科某领域的必要资料，了解前沿学术动态十分重要。外语知识可为硕士生开展国际学术交流、阅读外文资料提供必要的能力。药物化学学科硕士生应具备文献调研、资料查询、实验技能以及高性能数值计算、数据分析和学术交流能力等，并比较熟练地掌握至少一门外国语。</w:t>
      </w:r>
    </w:p>
    <w:p>
      <w:pPr>
        <w:pStyle w:val="51"/>
        <w:spacing w:line="300" w:lineRule="auto"/>
        <w:jc w:val="both"/>
        <w:rPr>
          <w:rFonts w:eastAsia="黑体"/>
          <w:b/>
          <w:bCs/>
          <w:kern w:val="2"/>
        </w:rPr>
      </w:pPr>
      <w:r>
        <w:rPr>
          <w:rFonts w:hint="eastAsia" w:eastAsia="黑体" w:cs="黑体"/>
          <w:b/>
          <w:bCs/>
          <w:kern w:val="2"/>
        </w:rPr>
        <w:t>二、获本学科硕士学位应具备的基本学术素质</w:t>
      </w:r>
    </w:p>
    <w:p>
      <w:pPr>
        <w:pStyle w:val="53"/>
        <w:spacing w:line="300" w:lineRule="auto"/>
        <w:ind w:firstLine="480" w:firstLineChars="200"/>
        <w:jc w:val="both"/>
        <w:rPr>
          <w:kern w:val="2"/>
        </w:rPr>
      </w:pPr>
      <w:r>
        <w:rPr>
          <w:rFonts w:hint="eastAsia" w:cs="宋体"/>
          <w:kern w:val="2"/>
        </w:rPr>
        <w:t>药物化学研究的目的和意义在于为保障药物安全、有效、可供、可控提供系统的理论知识和先进可靠的技术支撑。作为人类健康的保卫者</w:t>
      </w:r>
      <w:r>
        <w:rPr>
          <w:kern w:val="2"/>
        </w:rPr>
        <w:t>,</w:t>
      </w:r>
      <w:r>
        <w:rPr>
          <w:rFonts w:hint="eastAsia" w:cs="宋体"/>
          <w:kern w:val="2"/>
        </w:rPr>
        <w:t>药物化学硕士生的总体要求是：热爱祖国，遵纪守法，品行端正；遵守学术规范，恪守学术道德；崇尚科学精神。对药物化学研究有较浓厚的兴趣；掌握药物化学及相关学科的基本理论和较系统的专门知识，具有一定的学术研究潜力；能成为热爱祖国、献身科学、作风严谨、工作认真、身心健康的药物化学工作者。</w:t>
      </w:r>
    </w:p>
    <w:p>
      <w:pPr>
        <w:pStyle w:val="53"/>
        <w:spacing w:line="300" w:lineRule="auto"/>
        <w:ind w:firstLine="480" w:firstLineChars="200"/>
        <w:jc w:val="both"/>
        <w:rPr>
          <w:kern w:val="2"/>
        </w:rPr>
      </w:pPr>
      <w:r>
        <w:rPr>
          <w:rFonts w:hint="eastAsia" w:cs="宋体"/>
          <w:kern w:val="2"/>
        </w:rPr>
        <w:t>药物化学学科硕士生应具备以下学术素质：</w:t>
      </w:r>
    </w:p>
    <w:p>
      <w:pPr>
        <w:pStyle w:val="53"/>
        <w:spacing w:line="300" w:lineRule="auto"/>
        <w:jc w:val="both"/>
        <w:rPr>
          <w:b/>
          <w:bCs/>
          <w:kern w:val="2"/>
        </w:rPr>
      </w:pPr>
      <w:r>
        <w:rPr>
          <w:b/>
          <w:bCs/>
          <w:kern w:val="2"/>
        </w:rPr>
        <w:t>1</w:t>
      </w:r>
      <w:r>
        <w:rPr>
          <w:rFonts w:hint="eastAsia" w:cs="宋体"/>
          <w:b/>
          <w:bCs/>
          <w:kern w:val="2"/>
        </w:rPr>
        <w:t>.</w:t>
      </w:r>
      <w:r>
        <w:rPr>
          <w:b/>
          <w:bCs/>
          <w:kern w:val="2"/>
        </w:rPr>
        <w:t xml:space="preserve"> </w:t>
      </w:r>
      <w:r>
        <w:rPr>
          <w:rFonts w:hint="eastAsia" w:cs="宋体"/>
          <w:b/>
          <w:bCs/>
          <w:kern w:val="2"/>
        </w:rPr>
        <w:t>学术素养</w:t>
      </w:r>
    </w:p>
    <w:p>
      <w:pPr>
        <w:pStyle w:val="53"/>
        <w:spacing w:line="300" w:lineRule="auto"/>
        <w:ind w:firstLine="480" w:firstLineChars="200"/>
        <w:jc w:val="both"/>
        <w:rPr>
          <w:kern w:val="2"/>
        </w:rPr>
      </w:pPr>
      <w:r>
        <w:rPr>
          <w:rFonts w:hint="eastAsia" w:cs="宋体"/>
          <w:kern w:val="2"/>
        </w:rPr>
        <w:t>药物化学学科硕士生应具有较好的才智和创新精神。具备一定的学习和实践能力、比较扎实的专业知识基础和实验技能，以及较为宽广的相关学科知识。具有较强的理论和应用研究兴趣、学术悟性和语言表达能力，并能够将药物化学相关理论方法、技术创新与生产实践结合起来思考问题，具备一定的学术分析能力和发展潜力。具备一定的科研合作、交流、协同的能力。</w:t>
      </w:r>
    </w:p>
    <w:p>
      <w:pPr>
        <w:pStyle w:val="53"/>
        <w:spacing w:line="300" w:lineRule="auto"/>
        <w:jc w:val="both"/>
        <w:rPr>
          <w:b/>
          <w:bCs/>
          <w:kern w:val="2"/>
        </w:rPr>
      </w:pPr>
      <w:r>
        <w:rPr>
          <w:b/>
          <w:bCs/>
          <w:kern w:val="2"/>
        </w:rPr>
        <w:t xml:space="preserve">2. </w:t>
      </w:r>
      <w:r>
        <w:rPr>
          <w:rFonts w:hint="eastAsia" w:cs="宋体"/>
          <w:b/>
          <w:bCs/>
          <w:kern w:val="2"/>
        </w:rPr>
        <w:t>学术道德</w:t>
      </w:r>
    </w:p>
    <w:p>
      <w:pPr>
        <w:pStyle w:val="48"/>
        <w:spacing w:line="300" w:lineRule="auto"/>
        <w:ind w:firstLine="480" w:firstLineChars="200"/>
        <w:rPr>
          <w:kern w:val="2"/>
        </w:rPr>
      </w:pPr>
      <w:r>
        <w:rPr>
          <w:rFonts w:hint="eastAsia" w:cs="宋体"/>
          <w:kern w:val="2"/>
        </w:rPr>
        <w:t>药物化学学科硕士生应遵守共同的学术道德规范，遵守国家有关保密和保护知识产权的法律和规章，杜绝学术不端、不当行为和不良学风，严格恪守科学研究的伦理规范和要求。能规范、实事求是地记录研究数据和成果；科学合理地讨论研究结果。引用他人成果时能够正确辨识，并在自己的研究论文或报告中加以明确和规范的标示。</w:t>
      </w:r>
      <w:r>
        <w:rPr>
          <w:kern w:val="2"/>
        </w:rPr>
        <w:t xml:space="preserve"> </w:t>
      </w:r>
    </w:p>
    <w:p>
      <w:pPr>
        <w:pStyle w:val="53"/>
        <w:spacing w:line="300" w:lineRule="auto"/>
        <w:jc w:val="both"/>
        <w:rPr>
          <w:b/>
          <w:bCs/>
          <w:kern w:val="2"/>
        </w:rPr>
      </w:pPr>
      <w:r>
        <w:rPr>
          <w:b/>
          <w:bCs/>
          <w:kern w:val="2"/>
        </w:rPr>
        <w:t>3</w:t>
      </w:r>
      <w:r>
        <w:rPr>
          <w:rFonts w:hint="eastAsia" w:cs="宋体"/>
          <w:b/>
          <w:bCs/>
          <w:kern w:val="2"/>
        </w:rPr>
        <w:t>.</w:t>
      </w:r>
      <w:r>
        <w:rPr>
          <w:b/>
          <w:bCs/>
          <w:kern w:val="2"/>
        </w:rPr>
        <w:t xml:space="preserve"> </w:t>
      </w:r>
      <w:r>
        <w:rPr>
          <w:rFonts w:hint="eastAsia" w:cs="宋体"/>
          <w:b/>
          <w:bCs/>
          <w:kern w:val="2"/>
        </w:rPr>
        <w:t>职业道德</w:t>
      </w:r>
    </w:p>
    <w:p>
      <w:pPr>
        <w:pStyle w:val="47"/>
        <w:spacing w:line="300" w:lineRule="auto"/>
        <w:ind w:firstLine="480" w:firstLineChars="200"/>
        <w:rPr>
          <w:kern w:val="2"/>
        </w:rPr>
      </w:pPr>
      <w:r>
        <w:rPr>
          <w:rFonts w:hint="eastAsia" w:cs="宋体"/>
          <w:kern w:val="2"/>
        </w:rPr>
        <w:t>药物化学研究与人类的健康和社会安定密切相关，药物化学学科硕士生应当具备勇于探索创新、严谨治学、唯真求实、济世为怀、仁爱奉献、以社会公益为重、不以专业技能谋取不当私利的职业道德。关心药物化学相关科学和社会问题，具有较强的社会责任感，以学科知识服务于社会发展和文明进步。</w:t>
      </w:r>
    </w:p>
    <w:p>
      <w:pPr>
        <w:pStyle w:val="51"/>
        <w:spacing w:line="300" w:lineRule="auto"/>
        <w:jc w:val="both"/>
        <w:rPr>
          <w:rFonts w:eastAsia="黑体"/>
          <w:b/>
          <w:bCs/>
          <w:kern w:val="2"/>
        </w:rPr>
      </w:pPr>
      <w:r>
        <w:rPr>
          <w:rFonts w:hint="eastAsia" w:eastAsia="黑体" w:cs="黑体"/>
          <w:b/>
          <w:bCs/>
          <w:kern w:val="2"/>
        </w:rPr>
        <w:t>三、获本学科硕士学位应具备的基本学术能力</w:t>
      </w:r>
    </w:p>
    <w:p>
      <w:pPr>
        <w:pStyle w:val="49"/>
        <w:spacing w:line="300" w:lineRule="auto"/>
        <w:ind w:right="97" w:firstLine="480" w:firstLineChars="200"/>
        <w:rPr>
          <w:kern w:val="2"/>
        </w:rPr>
      </w:pPr>
      <w:r>
        <w:rPr>
          <w:rFonts w:hint="eastAsia" w:cs="宋体"/>
          <w:kern w:val="2"/>
        </w:rPr>
        <w:t>药物化学学科硕士生应较系统地掌握药物化学及相关学科的基本理论知识和技术方法，具有一定的学术交流能力和自主学习及拓展药物化学知识的能力。具备从事药物化学相关科学研究工作或担负专门技术工作的基本能力，能针对药物化学领域的问题进行具有一定开拓性内容的研究，并得出科学结论。</w:t>
      </w:r>
      <w:r>
        <w:rPr>
          <w:kern w:val="2"/>
        </w:rPr>
        <w:t xml:space="preserve"> </w:t>
      </w:r>
    </w:p>
    <w:p>
      <w:pPr>
        <w:pStyle w:val="53"/>
        <w:spacing w:line="300" w:lineRule="auto"/>
        <w:jc w:val="both"/>
        <w:rPr>
          <w:b/>
          <w:bCs/>
          <w:kern w:val="2"/>
        </w:rPr>
      </w:pPr>
      <w:r>
        <w:rPr>
          <w:b/>
          <w:bCs/>
          <w:kern w:val="2"/>
        </w:rPr>
        <w:t>1</w:t>
      </w:r>
      <w:r>
        <w:rPr>
          <w:rFonts w:hint="eastAsia" w:cs="宋体"/>
          <w:b/>
          <w:bCs/>
          <w:kern w:val="2"/>
        </w:rPr>
        <w:t>.</w:t>
      </w:r>
      <w:r>
        <w:rPr>
          <w:b/>
          <w:bCs/>
          <w:kern w:val="2"/>
        </w:rPr>
        <w:t xml:space="preserve"> </w:t>
      </w:r>
      <w:r>
        <w:rPr>
          <w:rFonts w:hint="eastAsia" w:cs="宋体"/>
          <w:b/>
          <w:bCs/>
          <w:kern w:val="2"/>
        </w:rPr>
        <w:t>获取知识的能力</w:t>
      </w:r>
    </w:p>
    <w:p>
      <w:pPr>
        <w:pStyle w:val="49"/>
        <w:spacing w:line="300" w:lineRule="auto"/>
        <w:ind w:right="97" w:firstLine="480" w:firstLineChars="200"/>
        <w:rPr>
          <w:kern w:val="2"/>
        </w:rPr>
      </w:pPr>
      <w:r>
        <w:rPr>
          <w:rFonts w:hint="eastAsia" w:cs="宋体"/>
          <w:kern w:val="2"/>
        </w:rPr>
        <w:t>药物化学学科硕士生应当具备通过系统的课程学习，有效获取所需知识和方法的能力，以及通过本领域研究动态的分析、生产实践调查、科研活动和学术交流等各种方式和渠道，了解学科学术研究前沿问题的能力。科学文献是专业知识和科研成果的重要载体。药物化学学科硕士生应基本掌握通过多种手段获取相关研究信息的规范途径和方法。</w:t>
      </w:r>
      <w:r>
        <w:rPr>
          <w:kern w:val="2"/>
        </w:rPr>
        <w:t xml:space="preserve"> </w:t>
      </w:r>
    </w:p>
    <w:p>
      <w:pPr>
        <w:pStyle w:val="53"/>
        <w:spacing w:line="300" w:lineRule="auto"/>
        <w:jc w:val="both"/>
        <w:rPr>
          <w:b/>
          <w:bCs/>
          <w:kern w:val="2"/>
        </w:rPr>
      </w:pPr>
      <w:r>
        <w:rPr>
          <w:b/>
          <w:bCs/>
          <w:kern w:val="2"/>
        </w:rPr>
        <w:t>2</w:t>
      </w:r>
      <w:r>
        <w:rPr>
          <w:rFonts w:hint="eastAsia" w:cs="宋体"/>
          <w:b/>
          <w:bCs/>
          <w:kern w:val="2"/>
        </w:rPr>
        <w:t>.</w:t>
      </w:r>
      <w:r>
        <w:rPr>
          <w:b/>
          <w:bCs/>
          <w:kern w:val="2"/>
        </w:rPr>
        <w:t xml:space="preserve"> </w:t>
      </w:r>
      <w:r>
        <w:rPr>
          <w:rFonts w:hint="eastAsia" w:cs="宋体"/>
          <w:b/>
          <w:bCs/>
          <w:kern w:val="2"/>
        </w:rPr>
        <w:t>科学研究能力</w:t>
      </w:r>
    </w:p>
    <w:p>
      <w:pPr>
        <w:pStyle w:val="49"/>
        <w:spacing w:line="300" w:lineRule="auto"/>
        <w:ind w:right="97" w:firstLine="480" w:firstLineChars="200"/>
        <w:rPr>
          <w:kern w:val="2"/>
        </w:rPr>
      </w:pPr>
      <w:r>
        <w:rPr>
          <w:rFonts w:hint="eastAsia" w:cs="宋体"/>
          <w:kern w:val="2"/>
        </w:rPr>
        <w:t>药物化学学科硕士生应具备从事药物化学相关科学研究工作的基本能力。能从前人研究成果或生产实践中发现有价值的科学问题，并具备一定的解决问题的能力</w:t>
      </w:r>
      <w:r>
        <w:rPr>
          <w:kern w:val="2"/>
        </w:rPr>
        <w:t xml:space="preserve"> ,</w:t>
      </w:r>
      <w:r>
        <w:rPr>
          <w:rFonts w:hint="eastAsia" w:cs="宋体"/>
          <w:kern w:val="2"/>
        </w:rPr>
        <w:t>包括针对科学问题，提出研究思路、设计技术路线、完成研究过程，并在获取第一手数据资料的基础上，分析研究现象和实验数据所对应的药物化学科学内涵，清晰表达和严谨推理论证科学问题，提出科学结论，独立撰写学位论文。</w:t>
      </w:r>
      <w:r>
        <w:rPr>
          <w:kern w:val="2"/>
        </w:rPr>
        <w:t xml:space="preserve"> </w:t>
      </w:r>
    </w:p>
    <w:p>
      <w:pPr>
        <w:pStyle w:val="53"/>
        <w:spacing w:line="300" w:lineRule="auto"/>
        <w:jc w:val="both"/>
        <w:rPr>
          <w:b/>
          <w:bCs/>
          <w:kern w:val="2"/>
        </w:rPr>
      </w:pPr>
      <w:r>
        <w:rPr>
          <w:b/>
          <w:bCs/>
          <w:kern w:val="2"/>
        </w:rPr>
        <w:t>3</w:t>
      </w:r>
      <w:r>
        <w:rPr>
          <w:rFonts w:cs="宋体"/>
          <w:b/>
          <w:bCs/>
          <w:kern w:val="2"/>
        </w:rPr>
        <w:t>.</w:t>
      </w:r>
      <w:r>
        <w:rPr>
          <w:b/>
          <w:bCs/>
          <w:kern w:val="2"/>
        </w:rPr>
        <w:t xml:space="preserve"> </w:t>
      </w:r>
      <w:r>
        <w:rPr>
          <w:rFonts w:hint="eastAsia" w:cs="宋体"/>
          <w:b/>
          <w:bCs/>
          <w:kern w:val="2"/>
        </w:rPr>
        <w:t>实践能力</w:t>
      </w:r>
    </w:p>
    <w:p>
      <w:pPr>
        <w:pStyle w:val="49"/>
        <w:spacing w:line="300" w:lineRule="auto"/>
        <w:ind w:right="97" w:firstLine="480" w:firstLineChars="200"/>
        <w:rPr>
          <w:kern w:val="2"/>
        </w:rPr>
      </w:pPr>
      <w:r>
        <w:rPr>
          <w:rFonts w:hint="eastAsia" w:cs="宋体"/>
          <w:kern w:val="2"/>
        </w:rPr>
        <w:t>药物化学学科硕士生应具有较强的实践能力，熟练掌握相关技能，在开展学术研究或应用性技术探索方面具有较强的本领。药物化学学科硕士生在药物化学研究相关仪器设备的使用、样品采集和进行实验的实际操作方面，应具有较强的动手能力。同时还应当具备良好的协作精神和一定的组织能力。</w:t>
      </w:r>
      <w:r>
        <w:rPr>
          <w:kern w:val="2"/>
        </w:rPr>
        <w:t xml:space="preserve"> </w:t>
      </w:r>
    </w:p>
    <w:p>
      <w:pPr>
        <w:pStyle w:val="53"/>
        <w:spacing w:line="300" w:lineRule="auto"/>
        <w:jc w:val="both"/>
        <w:rPr>
          <w:b/>
          <w:bCs/>
          <w:kern w:val="2"/>
        </w:rPr>
      </w:pPr>
      <w:r>
        <w:rPr>
          <w:b/>
          <w:bCs/>
          <w:kern w:val="2"/>
        </w:rPr>
        <w:t>4</w:t>
      </w:r>
      <w:r>
        <w:rPr>
          <w:rFonts w:cs="宋体"/>
          <w:b/>
          <w:bCs/>
          <w:kern w:val="2"/>
        </w:rPr>
        <w:t>.</w:t>
      </w:r>
      <w:r>
        <w:rPr>
          <w:b/>
          <w:bCs/>
          <w:kern w:val="2"/>
        </w:rPr>
        <w:t xml:space="preserve"> </w:t>
      </w:r>
      <w:r>
        <w:rPr>
          <w:rFonts w:hint="eastAsia" w:cs="宋体"/>
          <w:b/>
          <w:bCs/>
          <w:kern w:val="2"/>
        </w:rPr>
        <w:t>学术交流能力</w:t>
      </w:r>
    </w:p>
    <w:p>
      <w:pPr>
        <w:pStyle w:val="48"/>
        <w:spacing w:line="300" w:lineRule="auto"/>
        <w:ind w:firstLine="480" w:firstLineChars="200"/>
        <w:rPr>
          <w:kern w:val="2"/>
        </w:rPr>
      </w:pPr>
      <w:r>
        <w:rPr>
          <w:rFonts w:hint="eastAsia" w:cs="宋体"/>
          <w:kern w:val="2"/>
        </w:rPr>
        <w:t>学术交流是发现问题、学习研究思路、掌握学术前沿动态、获取学术支持的重要途径之一。药物化学学科硕士生应具备良好的学术交流能力，善于表达学术思想，阐述研究思路和技术手段，展示自己的学术成果。学术思想的表达主要体现在运用特定的语言进行准确、清晰而富有层次的口头表达和文字表达。学术成果的展示主要体现于适时在学术期刊、学术研讨会、科研创新活动等平台中发布自己的学术工作和研究成果。</w:t>
      </w:r>
    </w:p>
    <w:p>
      <w:pPr>
        <w:pStyle w:val="53"/>
        <w:spacing w:line="300" w:lineRule="auto"/>
        <w:jc w:val="both"/>
        <w:rPr>
          <w:b/>
          <w:bCs/>
          <w:kern w:val="2"/>
        </w:rPr>
      </w:pPr>
      <w:r>
        <w:rPr>
          <w:b/>
          <w:bCs/>
          <w:kern w:val="2"/>
        </w:rPr>
        <w:t xml:space="preserve">5. </w:t>
      </w:r>
      <w:r>
        <w:rPr>
          <w:rFonts w:hint="eastAsia" w:cs="宋体"/>
          <w:b/>
          <w:bCs/>
          <w:kern w:val="2"/>
        </w:rPr>
        <w:t>其他能力</w:t>
      </w:r>
    </w:p>
    <w:p>
      <w:pPr>
        <w:pStyle w:val="47"/>
        <w:spacing w:line="300" w:lineRule="auto"/>
        <w:ind w:firstLine="480" w:firstLineChars="200"/>
        <w:rPr>
          <w:kern w:val="2"/>
        </w:rPr>
      </w:pPr>
      <w:r>
        <w:rPr>
          <w:rFonts w:hint="eastAsia" w:cs="宋体"/>
          <w:kern w:val="2"/>
        </w:rPr>
        <w:t>除上述</w:t>
      </w:r>
      <w:r>
        <w:rPr>
          <w:kern w:val="2"/>
        </w:rPr>
        <w:t>4</w:t>
      </w:r>
      <w:r>
        <w:rPr>
          <w:rFonts w:hint="eastAsia" w:cs="宋体"/>
          <w:kern w:val="2"/>
        </w:rPr>
        <w:t>个方面的能力外，药物化学学科硕士生还应当具有一定的将理论与实践相结合的能力，能够运用所学的知识和技能解决药物化学相关的社会经济发展的实际问题和技术需求。为此，药物化学学科硕士生应当积极参与医药领域的科研活动或生产实践活动，并熟悉科研或生产工作的一般工作流程和执行规范。</w:t>
      </w:r>
    </w:p>
    <w:p>
      <w:pPr>
        <w:pStyle w:val="51"/>
        <w:spacing w:line="300" w:lineRule="auto"/>
        <w:jc w:val="both"/>
        <w:rPr>
          <w:rFonts w:eastAsia="黑体"/>
          <w:b/>
          <w:bCs/>
          <w:kern w:val="2"/>
        </w:rPr>
      </w:pPr>
      <w:r>
        <w:rPr>
          <w:rFonts w:hint="eastAsia" w:eastAsia="黑体" w:cs="黑体"/>
          <w:b/>
          <w:bCs/>
          <w:kern w:val="2"/>
        </w:rPr>
        <w:t>四、学位论文基本要求</w:t>
      </w:r>
    </w:p>
    <w:p>
      <w:pPr>
        <w:pStyle w:val="48"/>
        <w:spacing w:line="300" w:lineRule="auto"/>
        <w:ind w:firstLine="480" w:firstLineChars="200"/>
        <w:rPr>
          <w:kern w:val="2"/>
        </w:rPr>
      </w:pPr>
      <w:r>
        <w:rPr>
          <w:rFonts w:hint="eastAsia" w:cs="宋体"/>
          <w:kern w:val="2"/>
        </w:rPr>
        <w:t>硕士学位论文应具备科学性、完整性和一定的创新性，基本论点和结果正确，方法可靠，数据真实，推理严谨，结论可信，文字通顺，应能反映作者具备一定的从事理论研究或应用研究的能力水平。论文成果应具备一定的科学意义或实用价值。</w:t>
      </w:r>
      <w:r>
        <w:rPr>
          <w:kern w:val="2"/>
        </w:rPr>
        <w:t xml:space="preserve"> </w:t>
      </w:r>
    </w:p>
    <w:p>
      <w:pPr>
        <w:pStyle w:val="53"/>
        <w:spacing w:line="300" w:lineRule="auto"/>
        <w:jc w:val="both"/>
        <w:rPr>
          <w:b/>
          <w:bCs/>
          <w:kern w:val="2"/>
        </w:rPr>
      </w:pPr>
      <w:r>
        <w:rPr>
          <w:b/>
          <w:bCs/>
          <w:kern w:val="2"/>
        </w:rPr>
        <w:t>1</w:t>
      </w:r>
      <w:r>
        <w:rPr>
          <w:rFonts w:hint="eastAsia" w:cs="宋体"/>
          <w:b/>
          <w:bCs/>
          <w:kern w:val="2"/>
        </w:rPr>
        <w:t>.</w:t>
      </w:r>
      <w:r>
        <w:rPr>
          <w:rFonts w:cs="宋体"/>
          <w:b/>
          <w:bCs/>
          <w:kern w:val="2"/>
        </w:rPr>
        <w:t xml:space="preserve"> </w:t>
      </w:r>
      <w:r>
        <w:rPr>
          <w:rFonts w:hint="eastAsia" w:cs="宋体"/>
          <w:b/>
          <w:bCs/>
          <w:kern w:val="2"/>
        </w:rPr>
        <w:t>选题与综述的要求</w:t>
      </w:r>
      <w:r>
        <w:rPr>
          <w:b/>
          <w:bCs/>
          <w:kern w:val="2"/>
        </w:rPr>
        <w:t xml:space="preserve"> </w:t>
      </w:r>
    </w:p>
    <w:p>
      <w:pPr>
        <w:pStyle w:val="46"/>
        <w:spacing w:line="300" w:lineRule="auto"/>
        <w:ind w:firstLine="480" w:firstLineChars="200"/>
        <w:rPr>
          <w:rFonts w:cs="宋体"/>
          <w:color w:val="auto"/>
          <w:kern w:val="2"/>
        </w:rPr>
      </w:pPr>
      <w:r>
        <w:rPr>
          <w:rFonts w:hint="eastAsia" w:cs="宋体"/>
          <w:color w:val="auto"/>
          <w:kern w:val="2"/>
        </w:rPr>
        <w:t>（</w:t>
      </w:r>
      <w:r>
        <w:rPr>
          <w:color w:val="auto"/>
          <w:kern w:val="2"/>
        </w:rPr>
        <w:t>1</w:t>
      </w:r>
      <w:r>
        <w:rPr>
          <w:rFonts w:hint="eastAsia" w:cs="宋体"/>
          <w:color w:val="auto"/>
          <w:kern w:val="2"/>
        </w:rPr>
        <w:t>）硕士生应在导师指导下对国内外相关文献进行阅读和调研，并在此基础上进行综合分析，提出自己的见解，写出综述性报告，作为选题的依据。</w:t>
      </w:r>
    </w:p>
    <w:p>
      <w:pPr>
        <w:pStyle w:val="46"/>
        <w:spacing w:line="300" w:lineRule="auto"/>
        <w:ind w:firstLine="480" w:firstLineChars="200"/>
        <w:rPr>
          <w:color w:val="auto"/>
          <w:kern w:val="2"/>
        </w:rPr>
      </w:pPr>
      <w:r>
        <w:rPr>
          <w:rFonts w:hint="eastAsia" w:cs="宋体"/>
          <w:color w:val="auto"/>
          <w:kern w:val="2"/>
        </w:rPr>
        <w:t>（</w:t>
      </w:r>
      <w:r>
        <w:rPr>
          <w:color w:val="auto"/>
          <w:kern w:val="2"/>
        </w:rPr>
        <w:t>2</w:t>
      </w:r>
      <w:r>
        <w:rPr>
          <w:rFonts w:hint="eastAsia" w:cs="宋体"/>
          <w:color w:val="auto"/>
          <w:kern w:val="2"/>
        </w:rPr>
        <w:t>）在阅读和分析国内外文献资料的基础上，硕士生应根据导师的指导和选定的研究方向，确定研究课题及研究内容，制订实验方案，准备并进行预试验。在一定范围内作开题报告，听取意见并对实验方案进行修改。研究课题应对药物化学学科发展或经济建设和社会发展具有一定的价值。</w:t>
      </w:r>
      <w:r>
        <w:rPr>
          <w:color w:val="auto"/>
          <w:kern w:val="2"/>
        </w:rPr>
        <w:t xml:space="preserve"> </w:t>
      </w:r>
    </w:p>
    <w:p>
      <w:pPr>
        <w:pStyle w:val="53"/>
        <w:spacing w:line="300" w:lineRule="auto"/>
        <w:jc w:val="both"/>
        <w:rPr>
          <w:b/>
          <w:bCs/>
          <w:kern w:val="2"/>
        </w:rPr>
      </w:pPr>
      <w:r>
        <w:rPr>
          <w:b/>
          <w:bCs/>
          <w:kern w:val="2"/>
        </w:rPr>
        <w:t xml:space="preserve">2. </w:t>
      </w:r>
      <w:r>
        <w:rPr>
          <w:rFonts w:hint="eastAsia" w:cs="宋体"/>
          <w:b/>
          <w:bCs/>
          <w:kern w:val="2"/>
        </w:rPr>
        <w:t>规范性要求</w:t>
      </w:r>
    </w:p>
    <w:p>
      <w:pPr>
        <w:pStyle w:val="32"/>
        <w:snapToGrid w:val="0"/>
        <w:spacing w:line="300" w:lineRule="auto"/>
        <w:ind w:firstLine="480"/>
        <w:rPr>
          <w:rFonts w:ascii="Times New Roman" w:hAnsi="Times New Roman" w:cs="宋体"/>
          <w:sz w:val="24"/>
          <w:szCs w:val="24"/>
        </w:rPr>
      </w:pPr>
      <w:r>
        <w:rPr>
          <w:rFonts w:hint="eastAsia" w:ascii="Times New Roman" w:hAnsi="Times New Roman" w:cs="宋体"/>
          <w:sz w:val="24"/>
          <w:szCs w:val="24"/>
        </w:rPr>
        <w:t>硕士学位论文应该是一篇系统的学术文章，由申请人在导师的指导下独立完成。硕士学位论文应该立论依据充分，学术观点明确，实验设计合理，实验记录规范，实验数据真实，图表应符合规范标注，推理严谨，符合逻辑，语言简明流畅，论文格式符合《中国科学院大学研究生学位论文撰写规定》。</w:t>
      </w:r>
    </w:p>
    <w:p>
      <w:pPr>
        <w:pStyle w:val="54"/>
        <w:spacing w:line="300" w:lineRule="auto"/>
        <w:ind w:firstLine="480" w:firstLineChars="200"/>
        <w:rPr>
          <w:kern w:val="2"/>
        </w:rPr>
      </w:pPr>
    </w:p>
    <w:p>
      <w:pPr>
        <w:pStyle w:val="53"/>
        <w:spacing w:line="300" w:lineRule="auto"/>
        <w:jc w:val="both"/>
        <w:rPr>
          <w:b/>
          <w:bCs/>
          <w:kern w:val="2"/>
        </w:rPr>
      </w:pPr>
      <w:r>
        <w:rPr>
          <w:b/>
          <w:bCs/>
          <w:kern w:val="2"/>
        </w:rPr>
        <w:t xml:space="preserve">3. </w:t>
      </w:r>
      <w:r>
        <w:rPr>
          <w:rFonts w:hint="eastAsia" w:cs="宋体"/>
          <w:b/>
          <w:bCs/>
          <w:kern w:val="2"/>
        </w:rPr>
        <w:t>创新性要求</w:t>
      </w:r>
    </w:p>
    <w:p>
      <w:pPr>
        <w:pStyle w:val="53"/>
        <w:spacing w:line="300" w:lineRule="auto"/>
        <w:ind w:firstLine="480" w:firstLineChars="200"/>
        <w:jc w:val="both"/>
        <w:rPr>
          <w:kern w:val="2"/>
        </w:rPr>
      </w:pPr>
      <w:r>
        <w:rPr>
          <w:rFonts w:hint="eastAsia" w:cs="宋体"/>
          <w:kern w:val="2"/>
        </w:rPr>
        <w:t>硕士学位论文除了应具备科学性、完整性外，还应具备一定的创新性。论文成果应具备一定的科学意义或实用价值。具体可包括如下一个或几个方面：</w:t>
      </w:r>
    </w:p>
    <w:p>
      <w:pPr>
        <w:pStyle w:val="46"/>
        <w:spacing w:line="300" w:lineRule="auto"/>
        <w:ind w:firstLine="480" w:firstLineChars="200"/>
        <w:rPr>
          <w:color w:val="auto"/>
          <w:kern w:val="2"/>
        </w:rPr>
      </w:pPr>
      <w:r>
        <w:rPr>
          <w:rFonts w:hint="eastAsia" w:cs="宋体"/>
          <w:color w:val="auto"/>
          <w:kern w:val="2"/>
        </w:rPr>
        <w:t>（</w:t>
      </w:r>
      <w:r>
        <w:rPr>
          <w:color w:val="auto"/>
          <w:kern w:val="2"/>
        </w:rPr>
        <w:t>1</w:t>
      </w:r>
      <w:r>
        <w:rPr>
          <w:rFonts w:hint="eastAsia" w:cs="宋体"/>
          <w:color w:val="auto"/>
          <w:kern w:val="2"/>
        </w:rPr>
        <w:t>）在论文涉及的基础研究领域（药物的发现、研究开发、作用机制、质量控制、安全评价等）的研究上有所发展，取得某些新知识或新结果，或在技术方法上有所发展和改进。</w:t>
      </w:r>
      <w:r>
        <w:rPr>
          <w:color w:val="auto"/>
          <w:kern w:val="2"/>
        </w:rPr>
        <w:t xml:space="preserve"> </w:t>
      </w:r>
    </w:p>
    <w:p>
      <w:pPr>
        <w:pStyle w:val="46"/>
        <w:spacing w:line="300" w:lineRule="auto"/>
        <w:ind w:firstLine="480" w:firstLineChars="200"/>
        <w:rPr>
          <w:rFonts w:cs="宋体"/>
          <w:color w:val="auto"/>
          <w:kern w:val="2"/>
        </w:rPr>
      </w:pPr>
      <w:r>
        <w:rPr>
          <w:rFonts w:hint="eastAsia" w:cs="宋体"/>
          <w:color w:val="auto"/>
          <w:kern w:val="2"/>
        </w:rPr>
        <w:t>（</w:t>
      </w:r>
      <w:r>
        <w:rPr>
          <w:color w:val="auto"/>
          <w:kern w:val="2"/>
        </w:rPr>
        <w:t>2</w:t>
      </w:r>
      <w:r>
        <w:rPr>
          <w:rFonts w:hint="eastAsia" w:cs="宋体"/>
          <w:color w:val="auto"/>
          <w:kern w:val="2"/>
        </w:rPr>
        <w:t>）在论文涉及的关键技术及转化（药物领域的新产品或产业技术方法）的研发上，取得一定进展。</w:t>
      </w:r>
    </w:p>
    <w:p>
      <w:pPr>
        <w:pStyle w:val="46"/>
        <w:spacing w:line="300" w:lineRule="auto"/>
        <w:ind w:firstLine="480" w:firstLineChars="200"/>
        <w:rPr>
          <w:color w:val="auto"/>
          <w:kern w:val="2"/>
        </w:rPr>
      </w:pPr>
      <w:r>
        <w:rPr>
          <w:rFonts w:hint="eastAsia" w:cs="宋体"/>
          <w:color w:val="auto"/>
          <w:kern w:val="2"/>
        </w:rPr>
        <w:t>硕士学位论文的创新性研究成果的体现方式，包括发表学术论文、发明专利以及国家接受或颁布的标准等著作权成果。</w:t>
      </w:r>
    </w:p>
    <w:p>
      <w:pPr>
        <w:pStyle w:val="46"/>
        <w:spacing w:line="300" w:lineRule="auto"/>
        <w:ind w:firstLine="480" w:firstLineChars="200"/>
        <w:rPr>
          <w:color w:val="auto"/>
          <w:kern w:val="2"/>
        </w:rPr>
      </w:pPr>
      <w:r>
        <w:rPr>
          <w:color w:val="auto"/>
          <w:kern w:val="2"/>
        </w:rPr>
        <w:t xml:space="preserve"> </w:t>
      </w:r>
    </w:p>
    <w:p>
      <w:pPr>
        <w:pStyle w:val="53"/>
        <w:spacing w:line="300" w:lineRule="auto"/>
        <w:ind w:firstLine="161" w:firstLineChars="67"/>
        <w:jc w:val="both"/>
        <w:rPr>
          <w:rFonts w:cs="宋体"/>
          <w:b/>
          <w:bCs/>
          <w:kern w:val="2"/>
        </w:rPr>
      </w:pPr>
      <w:r>
        <w:rPr>
          <w:b/>
          <w:bCs/>
          <w:kern w:val="2"/>
        </w:rPr>
        <w:t xml:space="preserve">4. </w:t>
      </w:r>
      <w:r>
        <w:rPr>
          <w:rFonts w:hint="eastAsia" w:cs="宋体"/>
          <w:b/>
          <w:bCs/>
          <w:kern w:val="2"/>
        </w:rPr>
        <w:t>质量审核要求</w:t>
      </w:r>
    </w:p>
    <w:p>
      <w:pPr>
        <w:pStyle w:val="46"/>
        <w:spacing w:line="300" w:lineRule="auto"/>
        <w:ind w:firstLine="480" w:firstLineChars="200"/>
        <w:rPr>
          <w:rFonts w:cs="宋体"/>
          <w:color w:val="auto"/>
          <w:kern w:val="2"/>
        </w:rPr>
      </w:pPr>
      <w:r>
        <w:rPr>
          <w:rFonts w:hint="eastAsia" w:cs="宋体"/>
          <w:color w:val="auto"/>
          <w:kern w:val="2"/>
        </w:rPr>
        <w:t>（1）学位论文学术不端行为检测：合理利用“学位论文学术不端行为检测系统”，检查学位论文是否存在抄袭、剽窃等学术不端行为。</w:t>
      </w:r>
    </w:p>
    <w:p>
      <w:pPr>
        <w:pStyle w:val="46"/>
        <w:spacing w:line="300" w:lineRule="auto"/>
        <w:ind w:firstLine="480" w:firstLineChars="200"/>
        <w:rPr>
          <w:rFonts w:cs="宋体"/>
          <w:color w:val="auto"/>
          <w:kern w:val="2"/>
        </w:rPr>
      </w:pPr>
      <w:r>
        <w:rPr>
          <w:rFonts w:hint="eastAsia" w:cs="宋体"/>
          <w:color w:val="auto"/>
          <w:kern w:val="2"/>
        </w:rPr>
        <w:t>（2）学位论文盲审评阅：学位论文在答辩前需送审至少2名相关领域专家进行盲审，如有1名评审专家审核通过，学位论文需修改后重新复审，如仍不通过则取消学位申请和答辩资格。</w:t>
      </w:r>
    </w:p>
    <w:p>
      <w:pPr>
        <w:pStyle w:val="46"/>
        <w:spacing w:line="300" w:lineRule="auto"/>
        <w:ind w:firstLine="480" w:firstLineChars="200"/>
        <w:rPr>
          <w:rFonts w:cs="宋体"/>
          <w:color w:val="auto"/>
          <w:kern w:val="2"/>
        </w:rPr>
      </w:pPr>
      <w:r>
        <w:rPr>
          <w:rFonts w:hint="eastAsia" w:cs="宋体"/>
          <w:color w:val="auto"/>
          <w:kern w:val="2"/>
        </w:rPr>
        <w:t>（3）建立负面清单制度：对论文指导、审核把关失职失责的人员建立负面清单，并追究其责任。</w:t>
      </w:r>
    </w:p>
    <w:p>
      <w:pPr>
        <w:pStyle w:val="46"/>
        <w:spacing w:line="300" w:lineRule="auto"/>
        <w:rPr>
          <w:rFonts w:eastAsia="黑体" w:cs="黑体"/>
          <w:b/>
          <w:bCs/>
          <w:color w:val="auto"/>
          <w:kern w:val="2"/>
        </w:rPr>
      </w:pPr>
      <w:r>
        <w:rPr>
          <w:rFonts w:hint="eastAsia" w:eastAsia="黑体" w:cs="黑体"/>
          <w:b/>
          <w:bCs/>
          <w:color w:val="auto"/>
          <w:kern w:val="2"/>
        </w:rPr>
        <w:t>五、学位授予标准</w:t>
      </w:r>
    </w:p>
    <w:p>
      <w:pPr>
        <w:pStyle w:val="32"/>
        <w:snapToGrid w:val="0"/>
        <w:spacing w:line="300" w:lineRule="auto"/>
        <w:ind w:firstLine="0" w:firstLineChars="0"/>
        <w:rPr>
          <w:rFonts w:ascii="宋体" w:hAnsi="宋体"/>
          <w:b/>
          <w:caps/>
          <w:sz w:val="24"/>
          <w:szCs w:val="24"/>
        </w:rPr>
      </w:pPr>
      <w:r>
        <w:rPr>
          <w:rFonts w:hint="eastAsia" w:ascii="宋体" w:hAnsi="宋体"/>
          <w:b/>
          <w:caps/>
          <w:sz w:val="24"/>
          <w:szCs w:val="24"/>
        </w:rPr>
        <w:t>1．基本要求</w:t>
      </w:r>
    </w:p>
    <w:p>
      <w:pPr>
        <w:pStyle w:val="32"/>
        <w:snapToGrid w:val="0"/>
        <w:spacing w:line="300" w:lineRule="auto"/>
        <w:ind w:firstLine="482" w:firstLineChars="201"/>
        <w:rPr>
          <w:rFonts w:ascii="宋体" w:hAnsi="宋体"/>
          <w:caps/>
          <w:sz w:val="24"/>
          <w:szCs w:val="24"/>
        </w:rPr>
      </w:pPr>
      <w:r>
        <w:rPr>
          <w:rFonts w:hint="eastAsia" w:ascii="宋体" w:hAnsi="宋体"/>
          <w:caps/>
          <w:sz w:val="24"/>
          <w:szCs w:val="24"/>
        </w:rPr>
        <w:t>硕士学位申请人必须完成本学科专业硕士研究生培养方案所规定的课程学习、必修环节和学位论文答辩，成绩合格。</w:t>
      </w:r>
    </w:p>
    <w:p>
      <w:pPr>
        <w:pStyle w:val="32"/>
        <w:snapToGrid w:val="0"/>
        <w:spacing w:line="300" w:lineRule="auto"/>
        <w:ind w:firstLine="0" w:firstLineChars="0"/>
        <w:rPr>
          <w:rFonts w:ascii="宋体" w:hAnsi="宋体"/>
          <w:b/>
          <w:caps/>
          <w:sz w:val="24"/>
          <w:szCs w:val="24"/>
        </w:rPr>
      </w:pPr>
      <w:r>
        <w:rPr>
          <w:rFonts w:hint="eastAsia" w:ascii="宋体" w:hAnsi="宋体"/>
          <w:b/>
          <w:caps/>
          <w:sz w:val="24"/>
          <w:szCs w:val="24"/>
        </w:rPr>
        <w:t>2．科研成果要求</w:t>
      </w:r>
    </w:p>
    <w:p>
      <w:pPr>
        <w:pStyle w:val="32"/>
        <w:snapToGrid w:val="0"/>
        <w:spacing w:line="300" w:lineRule="auto"/>
        <w:ind w:firstLine="482" w:firstLineChars="201"/>
        <w:rPr>
          <w:rFonts w:ascii="Times New Roman" w:hAnsi="Times New Roman" w:cs="Times New Roman"/>
          <w:caps/>
          <w:sz w:val="24"/>
          <w:szCs w:val="24"/>
        </w:rPr>
      </w:pPr>
      <w:r>
        <w:rPr>
          <w:rFonts w:hint="eastAsia" w:ascii="宋体" w:hAnsi="宋体"/>
          <w:caps/>
          <w:sz w:val="24"/>
          <w:szCs w:val="24"/>
        </w:rPr>
        <w:t>（1）</w:t>
      </w:r>
      <w:r>
        <w:rPr>
          <w:rFonts w:ascii="Times New Roman" w:hAnsi="Times New Roman" w:cs="Times New Roman"/>
          <w:caps/>
          <w:sz w:val="24"/>
          <w:szCs w:val="24"/>
        </w:rPr>
        <w:t>在学期间以第一作者在本领域T1~T5级别核心刊物公开发表与学位论文有关一篇高质量的研究性学术论文（含已接受）</w:t>
      </w:r>
      <w:r>
        <w:rPr>
          <w:rFonts w:hint="eastAsia" w:ascii="Times New Roman" w:hAnsi="Times New Roman" w:cs="Times New Roman"/>
          <w:caps/>
          <w:sz w:val="24"/>
          <w:szCs w:val="24"/>
        </w:rPr>
        <w:t>。</w:t>
      </w:r>
    </w:p>
    <w:p>
      <w:pPr>
        <w:pStyle w:val="32"/>
        <w:snapToGrid w:val="0"/>
        <w:spacing w:line="300" w:lineRule="auto"/>
        <w:ind w:firstLine="482" w:firstLineChars="201"/>
        <w:rPr>
          <w:rFonts w:ascii="宋体" w:hAnsi="宋体"/>
          <w:caps/>
          <w:sz w:val="24"/>
          <w:szCs w:val="24"/>
        </w:rPr>
      </w:pPr>
      <w:r>
        <w:rPr>
          <w:rFonts w:hint="eastAsia" w:ascii="宋体" w:hAnsi="宋体"/>
          <w:caps/>
          <w:sz w:val="24"/>
          <w:szCs w:val="24"/>
        </w:rPr>
        <w:t>（2）用于申请学位的发表论文，研究生的作者单位署名须包括：中国科学院大学；</w:t>
      </w:r>
    </w:p>
    <w:p>
      <w:pPr>
        <w:pStyle w:val="32"/>
        <w:snapToGrid w:val="0"/>
        <w:spacing w:line="300" w:lineRule="auto"/>
        <w:ind w:firstLine="482" w:firstLineChars="201"/>
        <w:rPr>
          <w:rFonts w:hint="eastAsia" w:ascii="宋体" w:hAnsi="宋体"/>
          <w:caps/>
          <w:sz w:val="24"/>
          <w:szCs w:val="24"/>
        </w:rPr>
      </w:pPr>
      <w:r>
        <w:rPr>
          <w:rFonts w:hint="eastAsia" w:ascii="宋体" w:hAnsi="宋体"/>
          <w:caps/>
          <w:sz w:val="24"/>
          <w:szCs w:val="24"/>
        </w:rPr>
        <w:t>（3）用于申请学位的发表论文，须与学位论文的核心研究工作密切相关。</w:t>
      </w:r>
    </w:p>
    <w:p>
      <w:pPr>
        <w:pStyle w:val="32"/>
        <w:snapToGrid w:val="0"/>
        <w:spacing w:line="300" w:lineRule="auto"/>
        <w:ind w:firstLine="482" w:firstLineChars="201"/>
        <w:rPr>
          <w:rFonts w:hint="eastAsia" w:ascii="宋体" w:hAnsi="宋体"/>
          <w:caps/>
          <w:sz w:val="24"/>
          <w:szCs w:val="24"/>
        </w:rPr>
      </w:pPr>
    </w:p>
    <w:p>
      <w:pPr>
        <w:pStyle w:val="32"/>
        <w:snapToGrid w:val="0"/>
        <w:spacing w:line="300" w:lineRule="auto"/>
        <w:ind w:firstLine="482" w:firstLineChars="201"/>
        <w:rPr>
          <w:rFonts w:hint="eastAsia" w:ascii="宋体" w:hAnsi="宋体"/>
          <w:caps/>
          <w:sz w:val="24"/>
          <w:szCs w:val="24"/>
        </w:rPr>
      </w:pPr>
      <w:r>
        <w:rPr>
          <w:rFonts w:hint="eastAsia" w:ascii="宋体" w:hAnsi="宋体"/>
          <w:caps/>
          <w:sz w:val="24"/>
          <w:szCs w:val="24"/>
        </w:rPr>
        <w:t>药物化学专业研究生培养科研成果按中科院期刊分区和《中国学术期刊影响因子年报（自然科学与工程技术）2021版》医药学相关的中文期刊划分的，较能体现研究生培养科研成果等级。</w:t>
      </w:r>
    </w:p>
    <w:p>
      <w:pPr>
        <w:pStyle w:val="32"/>
        <w:snapToGrid w:val="0"/>
        <w:spacing w:line="300" w:lineRule="auto"/>
        <w:ind w:firstLine="482" w:firstLineChars="201"/>
        <w:rPr>
          <w:rFonts w:hint="eastAsia" w:ascii="宋体" w:hAnsi="宋体"/>
          <w:caps/>
          <w:sz w:val="24"/>
          <w:szCs w:val="24"/>
        </w:rPr>
      </w:pPr>
      <w:bookmarkStart w:id="0" w:name="_GoBack"/>
      <w:bookmarkEnd w:id="0"/>
      <w:r>
        <w:rPr>
          <w:rFonts w:hint="eastAsia" w:ascii="宋体" w:hAnsi="宋体"/>
          <w:caps/>
          <w:sz w:val="24"/>
          <w:szCs w:val="24"/>
        </w:rPr>
        <w:t>以中科院期刊分区1区和《年报》最具国际“影响力”和“优秀学术期刊”定位为T1级别，2区为T2级别，3区为T3级别，4区为T4级别，部分北大中文核心期刊定为T5级。</w:t>
      </w:r>
    </w:p>
    <w:p>
      <w:pPr>
        <w:pStyle w:val="32"/>
        <w:snapToGrid w:val="0"/>
        <w:spacing w:line="300" w:lineRule="auto"/>
        <w:ind w:firstLine="482" w:firstLineChars="201"/>
        <w:rPr>
          <w:rFonts w:hint="eastAsia" w:ascii="宋体" w:hAnsi="宋体"/>
          <w:caps/>
          <w:sz w:val="24"/>
          <w:szCs w:val="24"/>
        </w:rPr>
      </w:pPr>
    </w:p>
    <w:p>
      <w:pPr>
        <w:pStyle w:val="32"/>
        <w:snapToGrid w:val="0"/>
        <w:spacing w:line="300" w:lineRule="auto"/>
        <w:ind w:firstLine="646" w:firstLineChars="201"/>
        <w:rPr>
          <w:rFonts w:hint="eastAsia" w:ascii="宋体" w:hAnsi="宋体"/>
          <w:b/>
          <w:bCs/>
          <w:caps/>
          <w:sz w:val="32"/>
          <w:szCs w:val="32"/>
        </w:rPr>
      </w:pPr>
      <w:r>
        <w:rPr>
          <w:rFonts w:hint="eastAsia" w:ascii="宋体" w:hAnsi="宋体"/>
          <w:b/>
          <w:bCs/>
          <w:caps/>
          <w:sz w:val="32"/>
          <w:szCs w:val="32"/>
        </w:rPr>
        <w:t>科研成果要求—药物化学</w:t>
      </w:r>
    </w:p>
    <w:tbl>
      <w:tblPr>
        <w:tblStyle w:val="16"/>
        <w:tblW w:w="9398" w:type="dxa"/>
        <w:tblCellSpacing w:w="0" w:type="dxa"/>
        <w:tblInd w:w="1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1229"/>
        <w:gridCol w:w="3492"/>
        <w:gridCol w:w="2627"/>
        <w:gridCol w:w="205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095" w:hRule="atLeast"/>
          <w:tblCellSpacing w:w="0" w:type="dxa"/>
        </w:trPr>
        <w:tc>
          <w:tcPr>
            <w:tcW w:w="1229" w:type="dxa"/>
            <w:tcBorders>
              <w:top w:val="single" w:color="000000" w:sz="4" w:space="0"/>
              <w:left w:val="single" w:color="000000" w:sz="4" w:space="0"/>
              <w:bottom w:val="single" w:color="000000" w:sz="4" w:space="0"/>
              <w:right w:val="single" w:color="000000" w:sz="4" w:space="0"/>
            </w:tcBorders>
            <w:shd w:val="clear" w:color="auto" w:fill="auto"/>
            <w:tcMar>
              <w:left w:w="99" w:type="dxa"/>
              <w:right w:w="99" w:type="dxa"/>
            </w:tcMar>
            <w:vAlign w:val="center"/>
          </w:tcPr>
          <w:p>
            <w:pPr>
              <w:pStyle w:val="13"/>
              <w:keepNext w:val="0"/>
              <w:keepLines w:val="0"/>
              <w:widowControl/>
              <w:suppressLineNumbers w:val="0"/>
              <w:rPr>
                <w:sz w:val="21"/>
                <w:szCs w:val="21"/>
              </w:rPr>
            </w:pPr>
            <w:r>
              <w:rPr>
                <w:rFonts w:hint="default" w:ascii="Times New Roman" w:hAnsi="Times New Roman" w:cs="Times New Roman"/>
                <w:b/>
                <w:bCs/>
                <w:color w:val="000000"/>
                <w:sz w:val="21"/>
                <w:szCs w:val="21"/>
              </w:rPr>
              <w:t>类别</w:t>
            </w:r>
          </w:p>
        </w:tc>
        <w:tc>
          <w:tcPr>
            <w:tcW w:w="3492" w:type="dxa"/>
            <w:tcBorders>
              <w:top w:val="single" w:color="000000" w:sz="4" w:space="0"/>
              <w:left w:val="single" w:color="000000" w:sz="4" w:space="0"/>
              <w:bottom w:val="single" w:color="000000" w:sz="4" w:space="0"/>
              <w:right w:val="single" w:color="000000" w:sz="4" w:space="0"/>
            </w:tcBorders>
            <w:shd w:val="clear" w:color="auto" w:fill="auto"/>
            <w:tcMar>
              <w:left w:w="99" w:type="dxa"/>
              <w:right w:w="99" w:type="dxa"/>
            </w:tcMar>
            <w:vAlign w:val="center"/>
          </w:tcPr>
          <w:p>
            <w:pPr>
              <w:pStyle w:val="13"/>
              <w:keepNext w:val="0"/>
              <w:keepLines w:val="0"/>
              <w:widowControl/>
              <w:suppressLineNumbers w:val="0"/>
              <w:rPr>
                <w:sz w:val="21"/>
                <w:szCs w:val="21"/>
              </w:rPr>
            </w:pPr>
            <w:r>
              <w:rPr>
                <w:rFonts w:hint="default" w:ascii="Times New Roman" w:hAnsi="Times New Roman" w:cs="Times New Roman"/>
                <w:b/>
                <w:bCs/>
                <w:color w:val="000000"/>
                <w:sz w:val="21"/>
                <w:szCs w:val="21"/>
              </w:rPr>
              <w:t>发表学术论文要求（论文</w:t>
            </w:r>
            <w:r>
              <w:rPr>
                <w:rFonts w:hint="default" w:ascii="Times New Roman" w:hAnsi="Times New Roman" w:cs="Times New Roman"/>
                <w:b/>
                <w:bCs/>
                <w:color w:val="000000"/>
                <w:sz w:val="21"/>
                <w:szCs w:val="21"/>
              </w:rPr>
              <w:br w:type="textWrapping"/>
            </w:r>
            <w:r>
              <w:rPr>
                <w:rFonts w:hint="default" w:ascii="Times New Roman" w:hAnsi="Times New Roman" w:cs="Times New Roman"/>
                <w:b/>
                <w:bCs/>
                <w:color w:val="000000"/>
                <w:sz w:val="21"/>
                <w:szCs w:val="21"/>
              </w:rPr>
              <w:t>数量、刊物级别等）</w:t>
            </w:r>
          </w:p>
        </w:tc>
        <w:tc>
          <w:tcPr>
            <w:tcW w:w="2627" w:type="dxa"/>
            <w:tcBorders>
              <w:top w:val="single" w:color="000000" w:sz="4" w:space="0"/>
              <w:left w:val="single" w:color="000000" w:sz="4" w:space="0"/>
              <w:bottom w:val="single" w:color="000000" w:sz="4" w:space="0"/>
              <w:right w:val="single" w:color="000000" w:sz="4" w:space="0"/>
            </w:tcBorders>
            <w:shd w:val="clear" w:color="auto" w:fill="auto"/>
            <w:tcMar>
              <w:left w:w="99" w:type="dxa"/>
              <w:right w:w="99" w:type="dxa"/>
            </w:tcMar>
            <w:vAlign w:val="center"/>
          </w:tcPr>
          <w:p>
            <w:pPr>
              <w:pStyle w:val="13"/>
              <w:keepNext w:val="0"/>
              <w:keepLines w:val="0"/>
              <w:widowControl/>
              <w:suppressLineNumbers w:val="0"/>
              <w:rPr>
                <w:sz w:val="21"/>
                <w:szCs w:val="21"/>
              </w:rPr>
            </w:pPr>
            <w:r>
              <w:rPr>
                <w:rFonts w:hint="default" w:ascii="Times New Roman" w:hAnsi="Times New Roman" w:cs="Times New Roman"/>
                <w:b/>
                <w:bCs/>
                <w:color w:val="000000"/>
                <w:sz w:val="21"/>
                <w:szCs w:val="21"/>
              </w:rPr>
              <w:t>科研成果要求（专利、专著、</w:t>
            </w:r>
            <w:r>
              <w:rPr>
                <w:rFonts w:hint="default" w:ascii="Times New Roman" w:hAnsi="Times New Roman" w:cs="Times New Roman"/>
                <w:b/>
                <w:bCs/>
                <w:color w:val="000000"/>
                <w:sz w:val="21"/>
                <w:szCs w:val="21"/>
              </w:rPr>
              <w:br w:type="textWrapping"/>
            </w:r>
            <w:r>
              <w:rPr>
                <w:rFonts w:hint="default" w:ascii="Times New Roman" w:hAnsi="Times New Roman" w:cs="Times New Roman"/>
                <w:b/>
                <w:bCs/>
                <w:color w:val="000000"/>
                <w:sz w:val="21"/>
                <w:szCs w:val="21"/>
              </w:rPr>
              <w:t>经评定的科研成果等）</w:t>
            </w:r>
          </w:p>
        </w:tc>
        <w:tc>
          <w:tcPr>
            <w:tcW w:w="2050" w:type="dxa"/>
            <w:tcBorders>
              <w:top w:val="single" w:color="000000" w:sz="4" w:space="0"/>
              <w:left w:val="single" w:color="000000" w:sz="4" w:space="0"/>
              <w:bottom w:val="single" w:color="000000" w:sz="4" w:space="0"/>
              <w:right w:val="single" w:color="000000" w:sz="4" w:space="0"/>
            </w:tcBorders>
            <w:shd w:val="clear" w:color="auto" w:fill="auto"/>
            <w:tcMar>
              <w:left w:w="99" w:type="dxa"/>
              <w:right w:w="99" w:type="dxa"/>
            </w:tcMar>
            <w:vAlign w:val="center"/>
          </w:tcPr>
          <w:p>
            <w:pPr>
              <w:pStyle w:val="13"/>
              <w:keepNext w:val="0"/>
              <w:keepLines w:val="0"/>
              <w:widowControl/>
              <w:suppressLineNumbers w:val="0"/>
              <w:rPr>
                <w:sz w:val="21"/>
                <w:szCs w:val="21"/>
              </w:rPr>
            </w:pPr>
            <w:r>
              <w:rPr>
                <w:rFonts w:hint="default" w:ascii="Times New Roman" w:hAnsi="Times New Roman" w:cs="Times New Roman"/>
                <w:b/>
                <w:bCs/>
                <w:color w:val="000000"/>
                <w:sz w:val="21"/>
                <w:szCs w:val="21"/>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544" w:hRule="atLeast"/>
          <w:tblCellSpacing w:w="0" w:type="dxa"/>
        </w:trPr>
        <w:tc>
          <w:tcPr>
            <w:tcW w:w="1229" w:type="dxa"/>
            <w:tcBorders>
              <w:top w:val="single" w:color="000000" w:sz="4" w:space="0"/>
              <w:left w:val="single" w:color="000000" w:sz="4" w:space="0"/>
              <w:bottom w:val="single" w:color="000000" w:sz="4" w:space="0"/>
              <w:right w:val="single" w:color="000000" w:sz="4" w:space="0"/>
            </w:tcBorders>
            <w:shd w:val="clear" w:color="auto" w:fill="auto"/>
            <w:tcMar>
              <w:left w:w="99" w:type="dxa"/>
              <w:right w:w="99" w:type="dxa"/>
            </w:tcMar>
            <w:vAlign w:val="center"/>
          </w:tcPr>
          <w:p>
            <w:pPr>
              <w:pStyle w:val="13"/>
              <w:keepNext w:val="0"/>
              <w:keepLines w:val="0"/>
              <w:widowControl/>
              <w:suppressLineNumbers w:val="0"/>
              <w:rPr>
                <w:sz w:val="21"/>
                <w:szCs w:val="21"/>
              </w:rPr>
            </w:pPr>
            <w:r>
              <w:rPr>
                <w:rFonts w:hint="default" w:ascii="Times New Roman" w:hAnsi="Times New Roman" w:cs="Times New Roman"/>
                <w:b/>
                <w:bCs/>
                <w:color w:val="000000"/>
                <w:sz w:val="21"/>
                <w:szCs w:val="21"/>
              </w:rPr>
              <w:t>硕士</w:t>
            </w:r>
          </w:p>
        </w:tc>
        <w:tc>
          <w:tcPr>
            <w:tcW w:w="3492" w:type="dxa"/>
            <w:tcBorders>
              <w:top w:val="single" w:color="000000" w:sz="4" w:space="0"/>
              <w:left w:val="single" w:color="000000" w:sz="4" w:space="0"/>
              <w:bottom w:val="single" w:color="000000" w:sz="4" w:space="0"/>
              <w:right w:val="single" w:color="000000" w:sz="4" w:space="0"/>
            </w:tcBorders>
            <w:shd w:val="clear" w:color="auto" w:fill="auto"/>
            <w:tcMar>
              <w:left w:w="99" w:type="dxa"/>
              <w:right w:w="99" w:type="dxa"/>
            </w:tcMar>
            <w:vAlign w:val="center"/>
          </w:tcPr>
          <w:p>
            <w:pPr>
              <w:pStyle w:val="13"/>
              <w:keepNext w:val="0"/>
              <w:keepLines w:val="0"/>
              <w:widowControl/>
              <w:suppressLineNumbers w:val="0"/>
              <w:rPr>
                <w:sz w:val="21"/>
                <w:szCs w:val="21"/>
              </w:rPr>
            </w:pPr>
            <w:r>
              <w:rPr>
                <w:rFonts w:hint="default" w:ascii="Times New Roman" w:hAnsi="Times New Roman" w:cs="Times New Roman"/>
                <w:color w:val="000000"/>
                <w:sz w:val="21"/>
                <w:szCs w:val="21"/>
              </w:rPr>
              <w:t>　</w:t>
            </w:r>
            <w:r>
              <w:rPr>
                <w:rFonts w:hint="default" w:ascii="Times New Roman" w:hAnsi="Times New Roman" w:cs="Times New Roman"/>
                <w:b/>
                <w:bCs/>
                <w:color w:val="000000"/>
                <w:sz w:val="21"/>
                <w:szCs w:val="21"/>
              </w:rPr>
              <w:t> 在学期间以第一作者在本领域T1~T5级别核心刊物公开发表与学位论文有关一篇高质量的研究性学术论文（含已接受）</w:t>
            </w:r>
          </w:p>
        </w:tc>
        <w:tc>
          <w:tcPr>
            <w:tcW w:w="2627" w:type="dxa"/>
            <w:tcBorders>
              <w:top w:val="single" w:color="000000" w:sz="4" w:space="0"/>
              <w:left w:val="single" w:color="000000" w:sz="4" w:space="0"/>
              <w:bottom w:val="single" w:color="000000" w:sz="4" w:space="0"/>
              <w:right w:val="single" w:color="000000" w:sz="4" w:space="0"/>
            </w:tcBorders>
            <w:shd w:val="clear" w:color="auto" w:fill="auto"/>
            <w:tcMar>
              <w:left w:w="99" w:type="dxa"/>
              <w:right w:w="99" w:type="dxa"/>
            </w:tcMar>
            <w:vAlign w:val="center"/>
          </w:tcPr>
          <w:p>
            <w:pPr>
              <w:pStyle w:val="13"/>
              <w:keepNext w:val="0"/>
              <w:keepLines w:val="0"/>
              <w:widowControl/>
              <w:suppressLineNumbers w:val="0"/>
              <w:rPr>
                <w:sz w:val="21"/>
                <w:szCs w:val="21"/>
              </w:rPr>
            </w:pPr>
            <w:r>
              <w:rPr>
                <w:rFonts w:hint="default" w:ascii="Times New Roman" w:hAnsi="Times New Roman" w:cs="Times New Roman"/>
                <w:color w:val="000000"/>
                <w:sz w:val="21"/>
                <w:szCs w:val="21"/>
              </w:rPr>
              <w:t>　</w:t>
            </w:r>
          </w:p>
        </w:tc>
        <w:tc>
          <w:tcPr>
            <w:tcW w:w="2050" w:type="dxa"/>
            <w:tcBorders>
              <w:top w:val="single" w:color="000000" w:sz="4" w:space="0"/>
              <w:left w:val="single" w:color="000000" w:sz="4" w:space="0"/>
              <w:bottom w:val="single" w:color="000000" w:sz="4" w:space="0"/>
              <w:right w:val="single" w:color="000000" w:sz="4" w:space="0"/>
            </w:tcBorders>
            <w:shd w:val="clear" w:color="auto" w:fill="auto"/>
            <w:tcMar>
              <w:left w:w="99" w:type="dxa"/>
              <w:right w:w="99" w:type="dxa"/>
            </w:tcMar>
            <w:vAlign w:val="center"/>
          </w:tcPr>
          <w:p>
            <w:pPr>
              <w:pStyle w:val="13"/>
              <w:keepNext w:val="0"/>
              <w:keepLines w:val="0"/>
              <w:widowControl/>
              <w:suppressLineNumbers w:val="0"/>
              <w:rPr>
                <w:sz w:val="21"/>
                <w:szCs w:val="21"/>
              </w:rPr>
            </w:pPr>
            <w:r>
              <w:rPr>
                <w:rFonts w:hint="default" w:ascii="Times New Roman" w:hAnsi="Times New Roman" w:cs="Times New Roman"/>
                <w:color w:val="000000"/>
                <w:sz w:val="21"/>
                <w:szCs w:val="21"/>
              </w:rPr>
              <w:t>参考学科期刊清单目录</w:t>
            </w:r>
          </w:p>
        </w:tc>
      </w:tr>
    </w:tbl>
    <w:p>
      <w:pPr>
        <w:snapToGrid w:val="0"/>
        <w:spacing w:line="300" w:lineRule="auto"/>
        <w:rPr>
          <w:rFonts w:ascii="Times New Roman" w:hAnsi="Times New Roman" w:cs="Times New Roman"/>
          <w:kern w:val="0"/>
        </w:rPr>
      </w:pPr>
    </w:p>
    <w:sectPr>
      <w:footerReference r:id="rId3" w:type="default"/>
      <w:pgSz w:w="11906" w:h="16838"/>
      <w:pgMar w:top="1440" w:right="1230" w:bottom="1440" w:left="123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Monotype Corsiva">
    <w:panose1 w:val="03010101010201010101"/>
    <w:charset w:val="00"/>
    <w:family w:val="script"/>
    <w:pitch w:val="default"/>
    <w:sig w:usb0="00000287" w:usb1="00000000" w:usb2="00000000" w:usb3="00000000" w:csb0="2000009F" w:csb1="DFD70000"/>
  </w:font>
  <w:font w:name="Verdana">
    <w:panose1 w:val="020B0604030504040204"/>
    <w:charset w:val="00"/>
    <w:family w:val="swiss"/>
    <w:pitch w:val="default"/>
    <w:sig w:usb0="A00006FF" w:usb1="4000205B" w:usb2="00000010" w:usb3="00000000" w:csb0="2000019F" w:csb1="00000000"/>
  </w:font>
  <w:font w:name="仿宋_GB2312">
    <w:panose1 w:val="02010609030101010101"/>
    <w:charset w:val="86"/>
    <w:family w:val="modern"/>
    <w:pitch w:val="default"/>
    <w:sig w:usb0="00000001" w:usb1="080E0000" w:usb2="00000000" w:usb3="00000000" w:csb0="00040000"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rPr>
        <w:rFonts w:cs="Times New Roman"/>
      </w:rPr>
    </w:pPr>
    <w:r>
      <w:fldChar w:fldCharType="begin"/>
    </w:r>
    <w:r>
      <w:instrText xml:space="preserve"> PAGE   \* MERGEFORMAT </w:instrText>
    </w:r>
    <w:r>
      <w:fldChar w:fldCharType="separate"/>
    </w:r>
    <w:r>
      <w:rPr>
        <w:lang w:val="zh-CN"/>
      </w:rPr>
      <w:t>10</w:t>
    </w:r>
    <w:r>
      <w:rPr>
        <w:lang w:val="zh-CN"/>
      </w:rPr>
      <w:fldChar w:fldCharType="end"/>
    </w:r>
  </w:p>
  <w:p>
    <w:pPr>
      <w:pStyle w:val="11"/>
      <w:rPr>
        <w:rFonts w:cs="Times New Roman"/>
      </w:rPr>
    </w:pPr>
  </w:p>
</w:ftr>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